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SA WG2 Meeting #</w:t>
      </w:r>
      <w:r w:rsidR="00C82AFC">
        <w:rPr>
          <w:rFonts w:eastAsia="Arial Unicode MS" w:cs="Arial" w:hint="eastAsia"/>
          <w:bCs/>
          <w:sz w:val="24"/>
          <w:lang w:eastAsia="zh-CN"/>
        </w:rPr>
        <w:t>S</w:t>
      </w:r>
      <w:r w:rsidR="00C82AFC">
        <w:rPr>
          <w:rFonts w:eastAsia="Arial Unicode MS" w:cs="Arial"/>
          <w:bCs/>
          <w:sz w:val="24"/>
          <w:lang w:eastAsia="zh-CN"/>
        </w:rPr>
        <w:t>2-</w:t>
      </w:r>
      <w:r>
        <w:rPr>
          <w:rFonts w:eastAsia="Arial Unicode MS" w:cs="Arial"/>
          <w:bCs/>
          <w:sz w:val="24"/>
        </w:rPr>
        <w:t>1</w:t>
      </w:r>
      <w:r w:rsidR="00C82AFC">
        <w:rPr>
          <w:rFonts w:eastAsia="Arial Unicode MS" w:cs="Arial" w:hint="eastAsia"/>
          <w:bCs/>
          <w:sz w:val="24"/>
          <w:lang w:eastAsia="zh-CN"/>
        </w:rPr>
        <w:t>4</w:t>
      </w:r>
      <w:r w:rsidR="00C82AFC">
        <w:rPr>
          <w:rFonts w:eastAsia="Arial Unicode MS" w:cs="Arial"/>
          <w:bCs/>
          <w:sz w:val="24"/>
          <w:lang w:eastAsia="zh-CN"/>
        </w:rPr>
        <w:t>3</w:t>
      </w:r>
      <w:r w:rsidRPr="00280C65">
        <w:rPr>
          <w:rFonts w:eastAsia="Arial Unicode MS" w:cs="Arial"/>
          <w:bCs/>
          <w:sz w:val="24"/>
        </w:rPr>
        <w:t>E</w:t>
      </w:r>
      <w:r w:rsidRPr="00436104">
        <w:rPr>
          <w:rFonts w:eastAsia="Arial Unicode MS" w:cs="Arial"/>
          <w:bCs/>
          <w:sz w:val="24"/>
        </w:rPr>
        <w:tab/>
        <w:t>S2-2</w:t>
      </w:r>
      <w:r w:rsidR="00400F95">
        <w:rPr>
          <w:rFonts w:eastAsia="Arial Unicode MS" w:cs="Arial" w:hint="eastAsia"/>
          <w:bCs/>
          <w:sz w:val="24"/>
          <w:lang w:eastAsia="zh-CN"/>
        </w:rPr>
        <w:t>1</w:t>
      </w:r>
      <w:r w:rsidRPr="00436104">
        <w:rPr>
          <w:rFonts w:eastAsia="Arial Unicode MS" w:cs="Arial"/>
          <w:bCs/>
          <w:sz w:val="24"/>
        </w:rPr>
        <w:t>00</w:t>
      </w:r>
      <w:r w:rsidR="00400F95">
        <w:rPr>
          <w:rFonts w:eastAsia="Arial Unicode MS" w:cs="Arial" w:hint="eastAsia"/>
          <w:bCs/>
          <w:sz w:val="24"/>
          <w:lang w:eastAsia="zh-CN"/>
        </w:rPr>
        <w:t>238</w:t>
      </w:r>
    </w:p>
    <w:p w:rsidR="001E41F3" w:rsidRDefault="00C82AFC" w:rsidP="003C2476">
      <w:pPr>
        <w:pStyle w:val="CRCoverPage"/>
        <w:outlineLvl w:val="0"/>
        <w:rPr>
          <w:b/>
          <w:noProof/>
          <w:sz w:val="24"/>
          <w:lang w:eastAsia="zh-CN"/>
        </w:rPr>
      </w:pPr>
      <w:r>
        <w:rPr>
          <w:rFonts w:eastAsia="Arial Unicode MS" w:cs="Arial"/>
          <w:b/>
          <w:bCs/>
          <w:sz w:val="24"/>
          <w:lang w:eastAsia="zh-CN"/>
        </w:rPr>
        <w:t>24</w:t>
      </w:r>
      <w:r w:rsidR="003C2476" w:rsidRPr="00587225">
        <w:rPr>
          <w:rFonts w:eastAsia="Arial Unicode MS" w:cs="Arial"/>
          <w:b/>
          <w:bCs/>
          <w:sz w:val="24"/>
          <w:lang w:eastAsia="zh-CN"/>
        </w:rPr>
        <w:t xml:space="preserve"> </w:t>
      </w:r>
      <w:r>
        <w:rPr>
          <w:rFonts w:eastAsia="Arial Unicode MS" w:cs="Arial"/>
          <w:b/>
          <w:bCs/>
          <w:sz w:val="24"/>
          <w:lang w:eastAsia="zh-CN"/>
        </w:rPr>
        <w:t>February</w:t>
      </w:r>
      <w:r w:rsidR="003C2476" w:rsidRPr="00587225">
        <w:rPr>
          <w:rFonts w:eastAsia="Arial Unicode MS" w:cs="Arial"/>
          <w:b/>
          <w:bCs/>
          <w:sz w:val="24"/>
          <w:lang w:eastAsia="zh-CN"/>
        </w:rPr>
        <w:t xml:space="preserve"> - </w:t>
      </w:r>
      <w:r>
        <w:rPr>
          <w:rFonts w:eastAsia="Arial Unicode MS" w:cs="Arial"/>
          <w:b/>
          <w:bCs/>
          <w:sz w:val="24"/>
          <w:lang w:eastAsia="zh-CN"/>
        </w:rPr>
        <w:t>09</w:t>
      </w:r>
      <w:r w:rsidR="003C2476"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F755B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400F95" w:rsidP="00F6214A">
            <w:pPr>
              <w:pStyle w:val="CRCoverPage"/>
              <w:spacing w:after="0"/>
              <w:rPr>
                <w:noProof/>
                <w:lang w:eastAsia="zh-CN"/>
              </w:rPr>
            </w:pPr>
            <w:r>
              <w:rPr>
                <w:rFonts w:hint="eastAsia"/>
                <w:noProof/>
                <w:lang w:eastAsia="zh-CN"/>
              </w:rPr>
              <w:t>2480</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3C2476">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C82AFC">
              <w:rPr>
                <w:b/>
                <w:noProof/>
                <w:sz w:val="32"/>
                <w:lang w:eastAsia="zh-CN"/>
              </w:rPr>
              <w:t>7</w:t>
            </w:r>
            <w:r w:rsidR="006159E8" w:rsidRPr="008C2C44">
              <w:rPr>
                <w:b/>
                <w:noProof/>
                <w:sz w:val="32"/>
              </w:rPr>
              <w:t>.</w:t>
            </w:r>
            <w:r w:rsidR="003C2476">
              <w:rPr>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23A9" w:rsidP="00C82AFC">
            <w:pPr>
              <w:pStyle w:val="CRCoverPage"/>
              <w:spacing w:after="0"/>
              <w:ind w:left="100"/>
              <w:rPr>
                <w:noProof/>
              </w:rPr>
            </w:pPr>
            <w:r w:rsidRPr="001A23A9">
              <w:t xml:space="preserve">Supplement DNN to the input parameter of </w:t>
            </w:r>
            <w:proofErr w:type="spellStart"/>
            <w:r w:rsidRPr="001A23A9">
              <w:t>Nnrf_NFManagement_NFRegister</w:t>
            </w:r>
            <w:proofErr w:type="spellEnd"/>
            <w:r w:rsidRPr="001A23A9">
              <w:t xml:space="preserve"> service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112335">
              <w:fldChar w:fldCharType="begin"/>
            </w:r>
            <w:r w:rsidR="00941E30">
              <w:instrText xml:space="preserve"> DOCPROPERTY  SourceIfTsg  \* MERGEFORMAT </w:instrText>
            </w:r>
            <w:r w:rsidR="0011233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5A6B">
            <w:pPr>
              <w:pStyle w:val="CRCoverPage"/>
              <w:spacing w:after="0"/>
              <w:ind w:left="100"/>
              <w:rPr>
                <w:noProof/>
                <w:lang w:eastAsia="zh-CN"/>
              </w:rPr>
            </w:pPr>
            <w:r>
              <w:rPr>
                <w:noProof/>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2335" w:rsidP="00F15A6B">
            <w:pPr>
              <w:pStyle w:val="CRCoverPage"/>
              <w:spacing w:after="0"/>
              <w:ind w:left="100"/>
              <w:rPr>
                <w:noProof/>
                <w:lang w:eastAsia="zh-CN"/>
              </w:rPr>
            </w:pPr>
            <w:fldSimple w:instr=" DOCPROPERTY  ResDate  \* MERGEFORMAT ">
              <w:r w:rsidR="00FB3AD4">
                <w:rPr>
                  <w:noProof/>
                </w:rPr>
                <w:t>20</w:t>
              </w:r>
              <w:r w:rsidR="00C82AFC">
                <w:rPr>
                  <w:noProof/>
                </w:rPr>
                <w:t>21</w:t>
              </w:r>
              <w:r w:rsidR="00FB3AD4">
                <w:rPr>
                  <w:noProof/>
                </w:rPr>
                <w:t>-0</w:t>
              </w:r>
              <w:r w:rsidR="00C82AFC">
                <w:rPr>
                  <w:noProof/>
                  <w:lang w:eastAsia="zh-CN"/>
                </w:rPr>
                <w:t>2</w:t>
              </w:r>
              <w:r w:rsidR="00D24991">
                <w:rPr>
                  <w:noProof/>
                </w:rPr>
                <w:t>-</w:t>
              </w:r>
            </w:fldSimple>
            <w:r w:rsidR="00C82AFC">
              <w:rPr>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5A6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12335">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C82AFC" w:rsidP="00092704">
            <w:pPr>
              <w:pStyle w:val="CRCoverPage"/>
              <w:spacing w:after="0"/>
              <w:rPr>
                <w:lang w:eastAsia="zh-CN"/>
              </w:rPr>
            </w:pPr>
            <w:r>
              <w:rPr>
                <w:noProof/>
              </w:rPr>
              <w:t>According to clause 6.1.6.2</w:t>
            </w:r>
            <w:r w:rsidR="00092704">
              <w:rPr>
                <w:noProof/>
              </w:rPr>
              <w:t xml:space="preserve"> of TS 29.510, when SMF, UPF, PCF and BSF register</w:t>
            </w:r>
            <w:r>
              <w:rPr>
                <w:noProof/>
              </w:rPr>
              <w:t xml:space="preserve"> to the NRF,</w:t>
            </w:r>
            <w:r w:rsidR="00092704">
              <w:rPr>
                <w:noProof/>
              </w:rPr>
              <w:t xml:space="preserve"> the DNN information needs to be provided to NRF</w:t>
            </w:r>
            <w:r w:rsidR="00092704">
              <w:t>. In TS.23.502, the DNN</w:t>
            </w:r>
            <w:r>
              <w:t xml:space="preserv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15A6B" w:rsidP="00092704">
            <w:pPr>
              <w:pStyle w:val="CRCoverPage"/>
              <w:spacing w:after="0"/>
              <w:rPr>
                <w:noProof/>
                <w:lang w:eastAsia="zh-CN"/>
              </w:rPr>
            </w:pPr>
            <w:r>
              <w:t>Align</w:t>
            </w:r>
            <w:r w:rsidR="003134B6">
              <w:rPr>
                <w:rFonts w:hint="eastAsia"/>
                <w:lang w:eastAsia="zh-CN"/>
              </w:rPr>
              <w:t>ment</w:t>
            </w:r>
            <w:r>
              <w:t xml:space="preserve"> to </w:t>
            </w:r>
            <w:r w:rsidR="00C82AFC">
              <w:t xml:space="preserve">TS 29.510, </w:t>
            </w:r>
            <w:r w:rsidR="00092704">
              <w:t xml:space="preserve">adding DNN to the optional input </w:t>
            </w:r>
            <w:r w:rsidR="00C82AFC">
              <w:t xml:space="preserve">parameters </w:t>
            </w:r>
            <w:r w:rsidR="00092704">
              <w:t xml:space="preserve">of </w:t>
            </w:r>
            <w:proofErr w:type="spellStart"/>
            <w:r w:rsidR="00092704" w:rsidRPr="00140E21">
              <w:rPr>
                <w:lang w:eastAsia="zh-CN"/>
              </w:rPr>
              <w:t>Nnrf_NFManagement_NFRegister</w:t>
            </w:r>
            <w:proofErr w:type="spellEnd"/>
            <w:r w:rsidR="00092704" w:rsidRPr="00140E21">
              <w:rPr>
                <w:lang w:eastAsia="zh-CN"/>
              </w:rPr>
              <w:t xml:space="preserve"> service operation</w:t>
            </w:r>
            <w:r w:rsidR="00092704">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34B6" w:rsidP="003134B6">
            <w:pPr>
              <w:pStyle w:val="CRCoverPage"/>
              <w:spacing w:after="0"/>
              <w:rPr>
                <w:noProof/>
                <w:lang w:eastAsia="zh-CN"/>
              </w:rPr>
            </w:pPr>
            <w:r w:rsidRPr="003134B6">
              <w:rPr>
                <w:noProof/>
              </w:rPr>
              <w:t>Inconsistence between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4C4B" w:rsidP="00F04C4B">
            <w:pPr>
              <w:pStyle w:val="CRCoverPage"/>
              <w:spacing w:after="0"/>
              <w:ind w:left="100"/>
              <w:rPr>
                <w:noProof/>
                <w:lang w:eastAsia="zh-CN"/>
              </w:rPr>
            </w:pPr>
            <w:r>
              <w:rPr>
                <w:rFonts w:hint="eastAsia"/>
                <w:noProof/>
                <w:lang w:eastAsia="zh-CN"/>
              </w:rPr>
              <w:t>5.2.7.2.2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F04C4B" w:rsidRPr="00140E21" w:rsidRDefault="00F04C4B" w:rsidP="00F04C4B">
      <w:pPr>
        <w:pStyle w:val="5"/>
        <w:rPr>
          <w:lang w:eastAsia="zh-CN"/>
        </w:rPr>
      </w:pPr>
      <w:bookmarkStart w:id="2" w:name="_Toc20204617"/>
      <w:bookmarkStart w:id="3" w:name="_Toc27895323"/>
      <w:bookmarkStart w:id="4" w:name="_Toc36192426"/>
      <w:bookmarkStart w:id="5" w:name="_Toc45193529"/>
      <w:bookmarkStart w:id="6" w:name="_Toc47593161"/>
      <w:bookmarkStart w:id="7" w:name="_Toc51835248"/>
      <w:bookmarkStart w:id="8" w:name="_Toc59101074"/>
      <w:bookmarkStart w:id="9" w:name="_Toc11137165"/>
      <w:bookmarkStart w:id="10" w:name="_Toc5026447"/>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
      <w:bookmarkEnd w:id="3"/>
      <w:bookmarkEnd w:id="4"/>
      <w:bookmarkEnd w:id="5"/>
      <w:bookmarkEnd w:id="6"/>
      <w:bookmarkEnd w:id="7"/>
      <w:bookmarkEnd w:id="8"/>
    </w:p>
    <w:p w:rsidR="00F04C4B" w:rsidRPr="00140E21" w:rsidRDefault="00F04C4B" w:rsidP="00F04C4B">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rsidR="00F04C4B" w:rsidRPr="00140E21" w:rsidRDefault="00F04C4B" w:rsidP="00F04C4B">
      <w:r w:rsidRPr="00140E21">
        <w:rPr>
          <w:b/>
        </w:rPr>
        <w:t xml:space="preserve">Description: </w:t>
      </w:r>
      <w:r w:rsidRPr="00140E21">
        <w:t>Registers the consumer NF in the NRF by providing the NF profile of the consumer NF to NRF, and NRF marks the consumer NF available.</w:t>
      </w:r>
    </w:p>
    <w:p w:rsidR="00F04C4B" w:rsidRPr="00140E21" w:rsidRDefault="00F04C4B" w:rsidP="00F04C4B">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rsidR="00F04C4B" w:rsidRPr="00140E21" w:rsidRDefault="00F04C4B" w:rsidP="00F04C4B">
      <w:pPr>
        <w:pStyle w:val="NO"/>
      </w:pPr>
      <w:r w:rsidRPr="00140E21">
        <w:t>NOTE 1:</w:t>
      </w:r>
      <w:r w:rsidRPr="00140E21">
        <w:tab/>
        <w:t>for the UPF, the addressing information within the NF profile corresponds to the N4 interface.</w:t>
      </w:r>
    </w:p>
    <w:p w:rsidR="00F04C4B" w:rsidRPr="00140E21" w:rsidRDefault="00F04C4B" w:rsidP="00F04C4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w:t>
      </w:r>
      <w:proofErr w:type="spellStart"/>
      <w:r>
        <w:t>es</w:t>
      </w:r>
      <w:proofErr w:type="spellEnd"/>
      <w:r>
        <w:t>) of instance(s) of supported service(s)), see TS 23.501 [2], clause 6.2.6.3.</w:t>
      </w:r>
    </w:p>
    <w:p w:rsidR="00F04C4B" w:rsidRPr="00140E21" w:rsidRDefault="00F04C4B" w:rsidP="00F04C4B">
      <w:pPr>
        <w:rPr>
          <w:b/>
        </w:rPr>
      </w:pPr>
      <w:r w:rsidRPr="00140E21">
        <w:rPr>
          <w:b/>
        </w:rPr>
        <w:t>Inputs, Optional:</w:t>
      </w:r>
    </w:p>
    <w:p w:rsidR="00F04C4B" w:rsidRPr="00140E21" w:rsidRDefault="00F04C4B" w:rsidP="00F04C4B">
      <w:pPr>
        <w:pStyle w:val="B1"/>
      </w:pPr>
      <w:r w:rsidRPr="00140E21">
        <w:t>-</w:t>
      </w:r>
      <w:r w:rsidRPr="00140E21">
        <w:tab/>
        <w:t>If the consumer NF stores Data Set(s) (e.g. UDR): Range(s) of SUPIs, range(s) of GPSIs, range(s) of external group identifiers, Data Set Identifier(s).</w:t>
      </w:r>
    </w:p>
    <w:p w:rsidR="00F04C4B" w:rsidRDefault="00F04C4B" w:rsidP="00F04C4B">
      <w:pPr>
        <w:pStyle w:val="B1"/>
      </w:pPr>
      <w:r>
        <w:t>-</w:t>
      </w:r>
      <w:r>
        <w:tab/>
        <w:t>If the consumer is BSF: Range(s) of (UE) IPv4 addresses or Range(s) of (UE) IPv6 prefixes,</w:t>
      </w:r>
      <w:r w:rsidR="00092704">
        <w:t xml:space="preserve"> </w:t>
      </w:r>
      <w:bookmarkStart w:id="11" w:name="_GoBack"/>
      <w:bookmarkEnd w:id="11"/>
      <w:r>
        <w:t>IP domain list as described in clause 6.1.6.2.21 of TS 29.510 [37].</w:t>
      </w:r>
    </w:p>
    <w:p w:rsidR="00F04C4B" w:rsidRPr="00140E21" w:rsidRDefault="00F04C4B" w:rsidP="00F04C4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rsidR="00F04C4B" w:rsidRPr="00140E21" w:rsidRDefault="00F04C4B" w:rsidP="00F04C4B">
      <w:pPr>
        <w:pStyle w:val="B1"/>
      </w:pPr>
      <w:r w:rsidRPr="00140E21">
        <w:t>-</w:t>
      </w:r>
      <w:r w:rsidRPr="00140E21">
        <w:tab/>
        <w:t>If the consumer is UDM, UDR, PCF or AUSF, they can include UDM Group ID, UDR Group ID, PCF Group ID, AUSF Group ID respectively.</w:t>
      </w:r>
    </w:p>
    <w:p w:rsidR="00F04C4B" w:rsidRPr="00140E21" w:rsidRDefault="00F04C4B" w:rsidP="00F04C4B">
      <w:pPr>
        <w:pStyle w:val="B1"/>
      </w:pPr>
      <w:r w:rsidRPr="00140E21">
        <w:t>-</w:t>
      </w:r>
      <w:r w:rsidRPr="00140E21">
        <w:tab/>
        <w:t>For UDM and AUSF, Routing Indicator.</w:t>
      </w:r>
    </w:p>
    <w:p w:rsidR="00F04C4B" w:rsidRPr="00140E21" w:rsidRDefault="00F04C4B" w:rsidP="00F04C4B">
      <w:pPr>
        <w:pStyle w:val="B1"/>
      </w:pPr>
      <w:r w:rsidRPr="00140E21">
        <w:t>-</w:t>
      </w:r>
      <w:r w:rsidRPr="00140E21">
        <w:tab/>
        <w:t>If the consumer is AMF, it includes list of GUAMI(s). In addition, AMF may include list of GUAMI(s) for which it can serve as backup for failure/maintenance.</w:t>
      </w:r>
    </w:p>
    <w:p w:rsidR="00F04C4B" w:rsidRPr="00140E21" w:rsidRDefault="00F04C4B" w:rsidP="00F04C4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rsidR="00F04C4B" w:rsidRPr="00140E21" w:rsidRDefault="00F04C4B" w:rsidP="00F04C4B">
      <w:pPr>
        <w:pStyle w:val="B1"/>
      </w:pPr>
      <w:r w:rsidRPr="00140E21">
        <w:t>-</w:t>
      </w:r>
      <w:r w:rsidRPr="00140E21">
        <w:tab/>
        <w:t>If the consumer is P-CSCF, the P-CSCF IP address(</w:t>
      </w:r>
      <w:proofErr w:type="spellStart"/>
      <w:r w:rsidRPr="00140E21">
        <w:t>es</w:t>
      </w:r>
      <w:proofErr w:type="spellEnd"/>
      <w:r w:rsidRPr="00140E21">
        <w:t>) to be provided to the UE by SMF.</w:t>
      </w:r>
    </w:p>
    <w:p w:rsidR="00F04C4B" w:rsidRPr="00140E21" w:rsidRDefault="00F04C4B" w:rsidP="00F04C4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rsidR="00F04C4B" w:rsidRPr="00140E21" w:rsidRDefault="00F04C4B" w:rsidP="00F04C4B">
      <w:pPr>
        <w:pStyle w:val="B1"/>
      </w:pPr>
      <w:r w:rsidRPr="00140E21">
        <w:t>-</w:t>
      </w:r>
      <w:r w:rsidRPr="00140E21">
        <w:tab/>
        <w:t>For the UPF Management: UPF Provisioning Information as defined in clause 4.17.6.</w:t>
      </w:r>
    </w:p>
    <w:p w:rsidR="00F04C4B" w:rsidRDefault="00F04C4B" w:rsidP="00F04C4B">
      <w:pPr>
        <w:pStyle w:val="B1"/>
        <w:rPr>
          <w:ins w:id="12" w:author="cmcc-wd" w:date="2021-02-07T17:01:00Z"/>
        </w:rPr>
      </w:pPr>
      <w:r w:rsidRPr="00140E21">
        <w:t>-</w:t>
      </w:r>
      <w:r w:rsidRPr="00140E21">
        <w:tab/>
        <w:t>S-NSSAI(s) and the associated NSI ID(s) (if available).</w:t>
      </w:r>
    </w:p>
    <w:p w:rsidR="00092704" w:rsidRPr="00140E21" w:rsidRDefault="00112335" w:rsidP="00F04C4B">
      <w:pPr>
        <w:pStyle w:val="B1"/>
      </w:pPr>
      <w:ins w:id="13" w:author="cmcc-wd" w:date="2021-02-07T17:01:00Z">
        <w:r w:rsidRPr="00A63AEA">
          <w:t>-</w:t>
        </w:r>
        <w:r w:rsidRPr="00A63AEA">
          <w:tab/>
          <w:t>DNN(s)</w:t>
        </w:r>
      </w:ins>
    </w:p>
    <w:p w:rsidR="00F04C4B" w:rsidRPr="00140E21" w:rsidRDefault="00F04C4B" w:rsidP="00F04C4B">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rsidR="00F04C4B" w:rsidRPr="00140E21" w:rsidRDefault="00F04C4B" w:rsidP="00F04C4B">
      <w:pPr>
        <w:pStyle w:val="B1"/>
      </w:pPr>
      <w:r w:rsidRPr="00140E21">
        <w:t>-</w:t>
      </w:r>
      <w:r w:rsidRPr="00140E21">
        <w:tab/>
        <w:t>TAI(s).</w:t>
      </w:r>
    </w:p>
    <w:p w:rsidR="00F04C4B" w:rsidRPr="00140E21" w:rsidRDefault="00F04C4B" w:rsidP="00F04C4B">
      <w:pPr>
        <w:pStyle w:val="B1"/>
      </w:pPr>
      <w:r w:rsidRPr="00140E21">
        <w:t>-</w:t>
      </w:r>
      <w:r w:rsidRPr="00140E21">
        <w:tab/>
        <w:t>NF Set ID.</w:t>
      </w:r>
    </w:p>
    <w:p w:rsidR="00F04C4B" w:rsidRPr="00140E21" w:rsidRDefault="00F04C4B" w:rsidP="00F04C4B">
      <w:pPr>
        <w:pStyle w:val="B1"/>
      </w:pPr>
      <w:r w:rsidRPr="00140E21">
        <w:t>-</w:t>
      </w:r>
      <w:r w:rsidRPr="00140E21">
        <w:tab/>
        <w:t>NF Service Set ID.</w:t>
      </w:r>
    </w:p>
    <w:p w:rsidR="00F04C4B" w:rsidRPr="00140E21" w:rsidRDefault="00F04C4B" w:rsidP="00F04C4B">
      <w:pPr>
        <w:pStyle w:val="B1"/>
      </w:pPr>
      <w:r w:rsidRPr="00140E21">
        <w:t>-</w:t>
      </w:r>
      <w:r w:rsidRPr="00140E21">
        <w:tab/>
        <w:t>If the consumer is PCF or SMF, it includes the MA PDU Session capability to indicate if the NF instance supports MA PDU session or not.</w:t>
      </w:r>
    </w:p>
    <w:p w:rsidR="00F04C4B" w:rsidRDefault="00F04C4B" w:rsidP="00F04C4B">
      <w:pPr>
        <w:pStyle w:val="B1"/>
      </w:pPr>
      <w:r>
        <w:t>-</w:t>
      </w:r>
      <w:r>
        <w:tab/>
        <w:t>If the consumer is PCF, it includes the DNN replacement capability to indicate if the NF instance supports DNN replacement or not.</w:t>
      </w:r>
    </w:p>
    <w:p w:rsidR="00F04C4B" w:rsidRPr="00140E21" w:rsidRDefault="00F04C4B" w:rsidP="00F04C4B">
      <w:pPr>
        <w:pStyle w:val="B1"/>
      </w:pPr>
      <w:r w:rsidRPr="00140E21">
        <w:lastRenderedPageBreak/>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rsidR="00F04C4B" w:rsidRDefault="00F04C4B" w:rsidP="00F04C4B">
      <w:pPr>
        <w:pStyle w:val="B1"/>
      </w:pPr>
      <w:r>
        <w:t>-</w:t>
      </w:r>
      <w:r>
        <w:tab/>
        <w:t>If the consumer is NEF, it may include Event ID(s) supported by AFs, Application Identifier(s) supported by AFs, range(s) of External Identifiers, or range(s) of External Group Identifiers, or the domain names served by the NEF.</w:t>
      </w:r>
    </w:p>
    <w:p w:rsidR="00F04C4B" w:rsidRDefault="00F04C4B" w:rsidP="00F04C4B">
      <w:pPr>
        <w:pStyle w:val="B1"/>
      </w:pPr>
      <w:r>
        <w:t>-</w:t>
      </w:r>
      <w:r>
        <w:tab/>
        <w:t>Notification endpoint for default subscription for each type of notification that the NF is interested in receiving.</w:t>
      </w:r>
    </w:p>
    <w:p w:rsidR="00F04C4B" w:rsidRDefault="00F04C4B" w:rsidP="00F04C4B">
      <w:pPr>
        <w:pStyle w:val="B1"/>
      </w:pPr>
      <w:r>
        <w:t>-</w:t>
      </w:r>
      <w:r>
        <w:tab/>
        <w:t>Endpoint Address(</w:t>
      </w:r>
      <w:proofErr w:type="spellStart"/>
      <w:r>
        <w:t>es</w:t>
      </w:r>
      <w:proofErr w:type="spellEnd"/>
      <w:r>
        <w:t>) of instance(s) of supported service(s).</w:t>
      </w:r>
    </w:p>
    <w:p w:rsidR="00F04C4B" w:rsidRDefault="00F04C4B" w:rsidP="00F04C4B">
      <w:pPr>
        <w:pStyle w:val="B1"/>
      </w:pPr>
      <w:r>
        <w:t>-</w:t>
      </w:r>
      <w:r>
        <w:tab/>
        <w:t>NF capacity information.</w:t>
      </w:r>
    </w:p>
    <w:p w:rsidR="00F04C4B" w:rsidRDefault="00F04C4B" w:rsidP="00F04C4B">
      <w:pPr>
        <w:pStyle w:val="B1"/>
      </w:pPr>
      <w:r>
        <w:t>-</w:t>
      </w:r>
      <w:r>
        <w:tab/>
        <w:t>NF priority information.</w:t>
      </w:r>
    </w:p>
    <w:p w:rsidR="00F04C4B" w:rsidRDefault="00F04C4B" w:rsidP="00F04C4B">
      <w:pPr>
        <w:pStyle w:val="B1"/>
      </w:pPr>
      <w:r>
        <w:t>-</w:t>
      </w:r>
      <w:r>
        <w:tab/>
        <w:t>If consumer is NF, SCP domain the NF belongs to.</w:t>
      </w:r>
    </w:p>
    <w:p w:rsidR="00F04C4B" w:rsidRDefault="00F04C4B" w:rsidP="00F04C4B">
      <w:pPr>
        <w:pStyle w:val="B1"/>
      </w:pPr>
      <w:r>
        <w:t>-</w:t>
      </w:r>
      <w:r>
        <w:tab/>
        <w:t>If the consumer is SCP, it may include:</w:t>
      </w:r>
    </w:p>
    <w:p w:rsidR="00F04C4B" w:rsidRDefault="00F04C4B" w:rsidP="00F04C4B">
      <w:pPr>
        <w:pStyle w:val="B2"/>
      </w:pPr>
      <w:r>
        <w:t>-</w:t>
      </w:r>
      <w:r>
        <w:tab/>
        <w:t>SCP domain(s) the SCP belongs to.</w:t>
      </w:r>
    </w:p>
    <w:p w:rsidR="00F04C4B" w:rsidRDefault="00F04C4B" w:rsidP="00F04C4B">
      <w:pPr>
        <w:pStyle w:val="B2"/>
      </w:pPr>
      <w:r>
        <w:t>-</w:t>
      </w:r>
      <w:r>
        <w:tab/>
        <w:t>Remote PLMNs reachable through SCP.</w:t>
      </w:r>
    </w:p>
    <w:p w:rsidR="00F04C4B" w:rsidRDefault="00F04C4B" w:rsidP="00F04C4B">
      <w:pPr>
        <w:pStyle w:val="B2"/>
      </w:pPr>
      <w:r>
        <w:t>-</w:t>
      </w:r>
      <w:r>
        <w:tab/>
        <w:t>Endpoint addresses or Address Domain(s) (e.g. IP Address or FQDN ranges) accessible via the SCP.</w:t>
      </w:r>
    </w:p>
    <w:p w:rsidR="00F04C4B" w:rsidRDefault="00F04C4B" w:rsidP="00F04C4B">
      <w:pPr>
        <w:pStyle w:val="B2"/>
      </w:pPr>
      <w:r>
        <w:t>-</w:t>
      </w:r>
      <w:r>
        <w:tab/>
        <w:t>NF sets of NFs served by the SCP.</w:t>
      </w:r>
    </w:p>
    <w:p w:rsidR="00A63AEA" w:rsidRPr="00A63AEA" w:rsidRDefault="00A63AEA" w:rsidP="00A63AEA">
      <w:pPr>
        <w:rPr>
          <w:rFonts w:eastAsia="等线"/>
        </w:rPr>
      </w:pPr>
      <w:r w:rsidRPr="00A63AEA">
        <w:rPr>
          <w:rFonts w:eastAsia="等线"/>
          <w:b/>
        </w:rPr>
        <w:t xml:space="preserve">Outputs, Required: </w:t>
      </w:r>
      <w:r w:rsidRPr="00A63AEA">
        <w:rPr>
          <w:rFonts w:eastAsia="等线"/>
        </w:rPr>
        <w:t>Result indication.</w:t>
      </w:r>
    </w:p>
    <w:p w:rsidR="00A63AEA" w:rsidRPr="00A63AEA" w:rsidRDefault="00A63AEA" w:rsidP="00A63AEA">
      <w:pPr>
        <w:rPr>
          <w:rFonts w:eastAsia="等线"/>
          <w:lang w:eastAsia="zh-CN"/>
        </w:rPr>
      </w:pPr>
      <w:r w:rsidRPr="00A63AEA">
        <w:rPr>
          <w:rFonts w:eastAsia="等线"/>
          <w:b/>
        </w:rPr>
        <w:t>Outputs, Optional:</w:t>
      </w:r>
      <w:r w:rsidRPr="00A63AEA">
        <w:rPr>
          <w:rFonts w:eastAsia="等线"/>
        </w:rPr>
        <w:t xml:space="preserve"> </w:t>
      </w:r>
      <w:r w:rsidRPr="00A63AEA">
        <w:rPr>
          <w:rFonts w:eastAsia="等线"/>
          <w:lang w:eastAsia="zh-CN"/>
        </w:rPr>
        <w:t>None.</w:t>
      </w:r>
    </w:p>
    <w:p w:rsidR="00D14481" w:rsidRPr="0076436C" w:rsidRDefault="00A63AEA" w:rsidP="0076436C">
      <w:pPr>
        <w:pStyle w:val="B1"/>
        <w:ind w:hanging="568"/>
      </w:pPr>
      <w:r w:rsidRPr="0076436C">
        <w:rPr>
          <w:rFonts w:eastAsia="SimSun"/>
          <w:lang w:eastAsia="zh-CN"/>
        </w:rPr>
        <w:t>See clause 5.21.2.1 in TS 23.501 [2], the AMF registers itself to NRF.</w:t>
      </w:r>
    </w:p>
    <w:p w:rsidR="005F691A" w:rsidRPr="00D14481" w:rsidRDefault="005F691A" w:rsidP="005F691A">
      <w:pPr>
        <w:rPr>
          <w:rFonts w:eastAsia="宋体"/>
        </w:rPr>
      </w:pPr>
    </w:p>
    <w:bookmarkEnd w:id="9"/>
    <w:bookmarkEnd w:id="10"/>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BB9" w:rsidRDefault="00CF3BB9">
      <w:r>
        <w:separator/>
      </w:r>
    </w:p>
  </w:endnote>
  <w:endnote w:type="continuationSeparator" w:id="0">
    <w:p w:rsidR="00CF3BB9" w:rsidRDefault="00CF3B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BB9" w:rsidRDefault="00CF3BB9">
      <w:r>
        <w:separator/>
      </w:r>
    </w:p>
  </w:footnote>
  <w:footnote w:type="continuationSeparator" w:id="0">
    <w:p w:rsidR="00CF3BB9" w:rsidRDefault="00CF3B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112335">
      <w:fldChar w:fldCharType="begin"/>
    </w:r>
    <w:r>
      <w:instrText>PAGE</w:instrText>
    </w:r>
    <w:r w:rsidR="00112335">
      <w:fldChar w:fldCharType="separate"/>
    </w:r>
    <w:r>
      <w:rPr>
        <w:noProof/>
      </w:rPr>
      <w:t>1</w:t>
    </w:r>
    <w:r w:rsidR="0011233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92704"/>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2335"/>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3A9"/>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5B45"/>
    <w:rsid w:val="00300AA6"/>
    <w:rsid w:val="00305409"/>
    <w:rsid w:val="003134B6"/>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00F95"/>
    <w:rsid w:val="00410371"/>
    <w:rsid w:val="00415D20"/>
    <w:rsid w:val="004242F1"/>
    <w:rsid w:val="00425DB7"/>
    <w:rsid w:val="00427E5B"/>
    <w:rsid w:val="00433E6C"/>
    <w:rsid w:val="0044223C"/>
    <w:rsid w:val="00444BFC"/>
    <w:rsid w:val="00450642"/>
    <w:rsid w:val="00454265"/>
    <w:rsid w:val="00456676"/>
    <w:rsid w:val="004601BA"/>
    <w:rsid w:val="00461DEC"/>
    <w:rsid w:val="00484695"/>
    <w:rsid w:val="0048562D"/>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70DD"/>
    <w:rsid w:val="005D2E2C"/>
    <w:rsid w:val="005E2C44"/>
    <w:rsid w:val="005E4C9D"/>
    <w:rsid w:val="005E523F"/>
    <w:rsid w:val="005E6760"/>
    <w:rsid w:val="005E7471"/>
    <w:rsid w:val="005F190C"/>
    <w:rsid w:val="005F19CE"/>
    <w:rsid w:val="005F691A"/>
    <w:rsid w:val="005F7C3F"/>
    <w:rsid w:val="00612800"/>
    <w:rsid w:val="0061291C"/>
    <w:rsid w:val="00612E54"/>
    <w:rsid w:val="006159E8"/>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436C"/>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051F3"/>
    <w:rsid w:val="008279FA"/>
    <w:rsid w:val="008339E9"/>
    <w:rsid w:val="008375EF"/>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87F8A"/>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47E70"/>
    <w:rsid w:val="00A50CF0"/>
    <w:rsid w:val="00A528A1"/>
    <w:rsid w:val="00A63AEA"/>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6B09"/>
    <w:rsid w:val="00C522A3"/>
    <w:rsid w:val="00C52345"/>
    <w:rsid w:val="00C64AA0"/>
    <w:rsid w:val="00C66BA2"/>
    <w:rsid w:val="00C71888"/>
    <w:rsid w:val="00C767C2"/>
    <w:rsid w:val="00C819D7"/>
    <w:rsid w:val="00C82AFC"/>
    <w:rsid w:val="00C95985"/>
    <w:rsid w:val="00C97146"/>
    <w:rsid w:val="00CA6599"/>
    <w:rsid w:val="00CB31DF"/>
    <w:rsid w:val="00CB4292"/>
    <w:rsid w:val="00CC5026"/>
    <w:rsid w:val="00CC67AB"/>
    <w:rsid w:val="00CC68D0"/>
    <w:rsid w:val="00CD5855"/>
    <w:rsid w:val="00CE0436"/>
    <w:rsid w:val="00CE2C58"/>
    <w:rsid w:val="00CE6C9B"/>
    <w:rsid w:val="00CF321F"/>
    <w:rsid w:val="00CF3BB9"/>
    <w:rsid w:val="00D00054"/>
    <w:rsid w:val="00D03F9A"/>
    <w:rsid w:val="00D06D51"/>
    <w:rsid w:val="00D11ABD"/>
    <w:rsid w:val="00D1287F"/>
    <w:rsid w:val="00D14481"/>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45EB"/>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04C4B"/>
    <w:rsid w:val="00F10192"/>
    <w:rsid w:val="00F121C9"/>
    <w:rsid w:val="00F12965"/>
    <w:rsid w:val="00F15A6B"/>
    <w:rsid w:val="00F17E0F"/>
    <w:rsid w:val="00F23B9C"/>
    <w:rsid w:val="00F23C2B"/>
    <w:rsid w:val="00F25D98"/>
    <w:rsid w:val="00F26857"/>
    <w:rsid w:val="00F300FB"/>
    <w:rsid w:val="00F37BB4"/>
    <w:rsid w:val="00F55818"/>
    <w:rsid w:val="00F6214A"/>
    <w:rsid w:val="00F65055"/>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7E03D-FB49-408C-9C01-A2118289C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873</Words>
  <Characters>4979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cp:lastModifiedBy>
  <cp:revision>2</cp:revision>
  <cp:lastPrinted>1900-01-01T07:00:00Z</cp:lastPrinted>
  <dcterms:created xsi:type="dcterms:W3CDTF">2021-02-15T07:55:00Z</dcterms:created>
  <dcterms:modified xsi:type="dcterms:W3CDTF">2021-02-15T07:55:00Z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